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10CD1" w14:textId="77777777" w:rsidR="008679B7" w:rsidRDefault="00000000">
      <w:pPr>
        <w:spacing w:after="0" w:line="700" w:lineRule="exact"/>
        <w:jc w:val="center"/>
        <w:rPr>
          <w:rFonts w:ascii="方正小标宋简体" w:eastAsia="方正小标宋简体" w:hAnsi="方正小标宋简体" w:hint="eastAsia"/>
          <w:bCs/>
          <w:sz w:val="44"/>
          <w:lang w:eastAsia="zh-CN"/>
        </w:rPr>
      </w:pPr>
      <w:r>
        <w:rPr>
          <w:rFonts w:ascii="方正小标宋简体" w:eastAsia="方正小标宋简体" w:hAnsi="方正小标宋简体" w:hint="eastAsia"/>
          <w:bCs/>
          <w:sz w:val="44"/>
        </w:rPr>
        <w:t>《云南省长期护理保险省内异地直接结算经办规程（征求意见稿）》的起草</w:t>
      </w:r>
      <w:r>
        <w:rPr>
          <w:rFonts w:ascii="方正小标宋简体" w:eastAsia="方正小标宋简体" w:hAnsi="方正小标宋简体" w:hint="eastAsia"/>
          <w:bCs/>
          <w:sz w:val="44"/>
          <w:lang w:eastAsia="zh-CN"/>
        </w:rPr>
        <w:t>情说明</w:t>
      </w:r>
    </w:p>
    <w:p w14:paraId="37456812" w14:textId="77777777" w:rsidR="008679B7" w:rsidRDefault="008679B7">
      <w:pPr>
        <w:spacing w:after="0" w:line="600" w:lineRule="exact"/>
        <w:ind w:firstLineChars="200" w:firstLine="640"/>
        <w:jc w:val="both"/>
        <w:rPr>
          <w:rFonts w:ascii="方正黑体_GBK" w:eastAsia="方正黑体_GBK" w:hAnsi="方正黑体_GBK" w:cs="方正黑体_GBK" w:hint="eastAsia"/>
          <w:bCs/>
          <w:sz w:val="32"/>
          <w:szCs w:val="32"/>
        </w:rPr>
      </w:pPr>
    </w:p>
    <w:p w14:paraId="7CB65294" w14:textId="77777777" w:rsidR="008679B7" w:rsidRDefault="00000000">
      <w:pPr>
        <w:spacing w:after="0" w:line="600" w:lineRule="exact"/>
        <w:ind w:firstLineChars="200" w:firstLine="640"/>
        <w:jc w:val="both"/>
        <w:rPr>
          <w:rFonts w:ascii="方正黑体_GBK" w:eastAsia="方正黑体_GBK" w:hAnsi="方正黑体_GBK" w:cs="方正黑体_GBK" w:hint="eastAsia"/>
          <w:bCs/>
          <w:sz w:val="32"/>
          <w:szCs w:val="32"/>
        </w:rPr>
      </w:pPr>
      <w:r>
        <w:rPr>
          <w:rFonts w:ascii="方正黑体_GBK" w:eastAsia="方正黑体_GBK" w:hAnsi="方正黑体_GBK" w:cs="方正黑体_GBK" w:hint="eastAsia"/>
          <w:bCs/>
          <w:sz w:val="32"/>
          <w:szCs w:val="32"/>
        </w:rPr>
        <w:t>一、</w:t>
      </w:r>
      <w:r>
        <w:rPr>
          <w:rFonts w:ascii="方正黑体_GBK" w:eastAsia="方正黑体_GBK" w:hAnsi="方正黑体_GBK" w:cs="方正黑体_GBK" w:hint="eastAsia"/>
          <w:bCs/>
          <w:sz w:val="32"/>
          <w:szCs w:val="32"/>
          <w:lang w:eastAsia="zh-CN"/>
        </w:rPr>
        <w:t>起草</w:t>
      </w:r>
      <w:r>
        <w:rPr>
          <w:rFonts w:ascii="方正黑体_GBK" w:eastAsia="方正黑体_GBK" w:hAnsi="方正黑体_GBK" w:cs="方正黑体_GBK" w:hint="eastAsia"/>
          <w:bCs/>
          <w:sz w:val="32"/>
          <w:szCs w:val="32"/>
        </w:rPr>
        <w:t>背景</w:t>
      </w:r>
    </w:p>
    <w:p w14:paraId="798AE203" w14:textId="09F5AFA6" w:rsidR="008679B7" w:rsidRDefault="00000000">
      <w:pPr>
        <w:spacing w:after="0" w:line="60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建立长期护理保险（以下简称长护险）制度是党中央、国务院应对人口老龄化、健全多层次社会保障体系的重大战略部署。</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7</w:t>
      </w:r>
      <w:r>
        <w:rPr>
          <w:rFonts w:ascii="Times New Roman" w:eastAsia="方正仿宋_GBK" w:hAnsi="Times New Roman" w:cs="Times New Roman"/>
          <w:sz w:val="32"/>
          <w:szCs w:val="32"/>
        </w:rPr>
        <w:t>月，中共中央办公厅、国务院办公厅印发《关于加快建立长期护理保险制度的意见》，明确到</w:t>
      </w:r>
      <w:r>
        <w:rPr>
          <w:rFonts w:ascii="Times New Roman" w:eastAsia="方正仿宋_GBK" w:hAnsi="Times New Roman" w:cs="Times New Roman"/>
          <w:sz w:val="32"/>
          <w:szCs w:val="32"/>
        </w:rPr>
        <w:t>2028</w:t>
      </w:r>
      <w:r>
        <w:rPr>
          <w:rFonts w:ascii="Times New Roman" w:eastAsia="方正仿宋_GBK" w:hAnsi="Times New Roman" w:cs="Times New Roman"/>
          <w:sz w:val="32"/>
          <w:szCs w:val="32"/>
        </w:rPr>
        <w:t>年底前，基本建立适应我国基本国情的长期护理保险制度</w:t>
      </w:r>
      <w:r>
        <w:rPr>
          <w:rFonts w:ascii="Times New Roman" w:eastAsia="方正仿宋_GBK" w:hAnsi="Times New Roman" w:cs="Times New Roman"/>
          <w:sz w:val="32"/>
          <w:szCs w:val="32"/>
          <w:lang w:eastAsia="zh-CN"/>
        </w:rPr>
        <w:t>”</w:t>
      </w:r>
      <w:r>
        <w:rPr>
          <w:rFonts w:ascii="Times New Roman" w:eastAsia="方正仿宋_GBK" w:hAnsi="Times New Roman" w:cs="Times New Roman"/>
          <w:sz w:val="32"/>
          <w:szCs w:val="32"/>
        </w:rPr>
        <w:t>，并要求</w:t>
      </w:r>
      <w:r>
        <w:rPr>
          <w:rFonts w:ascii="Times New Roman" w:eastAsia="方正仿宋_GBK" w:hAnsi="Times New Roman" w:cs="Times New Roman"/>
          <w:sz w:val="32"/>
          <w:szCs w:val="32"/>
          <w:lang w:eastAsia="zh-CN"/>
        </w:rPr>
        <w:t>“</w:t>
      </w:r>
      <w:r>
        <w:rPr>
          <w:rFonts w:ascii="Times New Roman" w:eastAsia="方正仿宋_GBK" w:hAnsi="Times New Roman" w:cs="Times New Roman"/>
          <w:sz w:val="32"/>
          <w:szCs w:val="32"/>
        </w:rPr>
        <w:t>具备条件的省份，率先实现省内异地长期护理服务和失能等级评估费用直接结算</w:t>
      </w:r>
      <w:r>
        <w:rPr>
          <w:rFonts w:ascii="Times New Roman" w:eastAsia="方正仿宋_GBK" w:hAnsi="Times New Roman" w:cs="Times New Roman"/>
          <w:sz w:val="32"/>
          <w:szCs w:val="32"/>
          <w:lang w:eastAsia="zh-CN"/>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月，国家医保局印发《国家长期护理保险服务项目目录（试行）》，将服务项目统一分为生活照护类（</w:t>
      </w:r>
      <w:r>
        <w:rPr>
          <w:rFonts w:ascii="Times New Roman" w:eastAsia="方正仿宋_GBK" w:hAnsi="Times New Roman" w:cs="Times New Roman"/>
          <w:sz w:val="32"/>
          <w:szCs w:val="32"/>
        </w:rPr>
        <w:t>20</w:t>
      </w:r>
      <w:r>
        <w:rPr>
          <w:rFonts w:ascii="Times New Roman" w:eastAsia="方正仿宋_GBK" w:hAnsi="Times New Roman" w:cs="Times New Roman"/>
          <w:sz w:val="32"/>
          <w:szCs w:val="32"/>
        </w:rPr>
        <w:t>项）和医疗护理类（</w:t>
      </w:r>
      <w:r>
        <w:rPr>
          <w:rFonts w:ascii="Times New Roman" w:eastAsia="方正仿宋_GBK" w:hAnsi="Times New Roman" w:cs="Times New Roman"/>
          <w:sz w:val="32"/>
          <w:szCs w:val="32"/>
        </w:rPr>
        <w:t>16</w:t>
      </w:r>
      <w:r>
        <w:rPr>
          <w:rFonts w:ascii="Times New Roman" w:eastAsia="方正仿宋_GBK" w:hAnsi="Times New Roman" w:cs="Times New Roman"/>
          <w:sz w:val="32"/>
          <w:szCs w:val="32"/>
        </w:rPr>
        <w:t>项），为各地规范服务供给提供了标准遵循。截至</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年底，全国长护险试点地区已拓展至</w:t>
      </w:r>
      <w:r>
        <w:rPr>
          <w:rFonts w:ascii="Times New Roman" w:eastAsia="方正仿宋_GBK" w:hAnsi="Times New Roman" w:cs="Times New Roman"/>
          <w:sz w:val="32"/>
          <w:szCs w:val="32"/>
        </w:rPr>
        <w:t>92</w:t>
      </w:r>
      <w:r>
        <w:rPr>
          <w:rFonts w:ascii="Times New Roman" w:eastAsia="方正仿宋_GBK" w:hAnsi="Times New Roman" w:cs="Times New Roman"/>
          <w:sz w:val="32"/>
          <w:szCs w:val="32"/>
        </w:rPr>
        <w:t>个，覆盖人群达</w:t>
      </w:r>
      <w:r>
        <w:rPr>
          <w:rFonts w:ascii="Times New Roman" w:eastAsia="方正仿宋_GBK" w:hAnsi="Times New Roman" w:cs="Times New Roman"/>
          <w:sz w:val="32"/>
          <w:szCs w:val="32"/>
        </w:rPr>
        <w:t>3.08</w:t>
      </w:r>
      <w:r>
        <w:rPr>
          <w:rFonts w:ascii="Times New Roman" w:eastAsia="方正仿宋_GBK" w:hAnsi="Times New Roman" w:cs="Times New Roman"/>
          <w:sz w:val="32"/>
          <w:szCs w:val="32"/>
        </w:rPr>
        <w:t>亿人，基金累计支出超</w:t>
      </w:r>
      <w:r>
        <w:rPr>
          <w:rFonts w:ascii="Times New Roman" w:eastAsia="方正仿宋_GBK" w:hAnsi="Times New Roman" w:cs="Times New Roman"/>
          <w:sz w:val="32"/>
          <w:szCs w:val="32"/>
        </w:rPr>
        <w:t>1000</w:t>
      </w:r>
      <w:r>
        <w:rPr>
          <w:rFonts w:ascii="Times New Roman" w:eastAsia="方正仿宋_GBK" w:hAnsi="Times New Roman" w:cs="Times New Roman"/>
          <w:sz w:val="32"/>
          <w:szCs w:val="32"/>
        </w:rPr>
        <w:t>亿元，惠及超</w:t>
      </w:r>
      <w:r>
        <w:rPr>
          <w:rFonts w:ascii="Times New Roman" w:eastAsia="方正仿宋_GBK" w:hAnsi="Times New Roman" w:cs="Times New Roman"/>
          <w:sz w:val="32"/>
          <w:szCs w:val="32"/>
        </w:rPr>
        <w:t>330</w:t>
      </w:r>
      <w:r>
        <w:rPr>
          <w:rFonts w:ascii="Times New Roman" w:eastAsia="方正仿宋_GBK" w:hAnsi="Times New Roman" w:cs="Times New Roman"/>
          <w:sz w:val="32"/>
          <w:szCs w:val="32"/>
        </w:rPr>
        <w:t>万失能人员。</w:t>
      </w:r>
    </w:p>
    <w:p w14:paraId="600D7CCE" w14:textId="77777777" w:rsidR="008679B7" w:rsidRDefault="00000000">
      <w:pPr>
        <w:spacing w:after="0" w:line="60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29</w:t>
      </w:r>
      <w:r>
        <w:rPr>
          <w:rFonts w:ascii="Times New Roman" w:eastAsia="方正仿宋_GBK" w:hAnsi="Times New Roman" w:cs="Times New Roman"/>
          <w:sz w:val="32"/>
          <w:szCs w:val="32"/>
        </w:rPr>
        <w:t>日，省人民政府办公厅印发《云南省建立长期护理保险制度实施方案》（云政办规〔</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号），明确用</w:t>
      </w: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年左右时间建立我省长护险制度，确定曲靖市、玉溪市、楚雄州、文山州、西双版纳州、大理州、临沧市为首批建制州</w:t>
      </w:r>
      <w:r>
        <w:rPr>
          <w:rFonts w:ascii="Times New Roman" w:eastAsia="方正仿宋_GBK" w:hAnsi="Times New Roman" w:cs="Times New Roman"/>
          <w:sz w:val="32"/>
          <w:szCs w:val="32"/>
        </w:rPr>
        <w:lastRenderedPageBreak/>
        <w:t>（市），要求</w:t>
      </w:r>
      <w:r>
        <w:rPr>
          <w:rFonts w:ascii="Times New Roman" w:eastAsia="方正仿宋_GBK" w:hAnsi="Times New Roman" w:cs="Times New Roman"/>
          <w:sz w:val="32"/>
          <w:szCs w:val="32"/>
          <w:lang w:eastAsia="zh-CN"/>
        </w:rPr>
        <w:t>“</w:t>
      </w:r>
      <w:r>
        <w:rPr>
          <w:rFonts w:ascii="Times New Roman" w:eastAsia="方正仿宋_GBK" w:hAnsi="Times New Roman" w:cs="Times New Roman"/>
          <w:sz w:val="32"/>
          <w:szCs w:val="32"/>
        </w:rPr>
        <w:t>2026</w:t>
      </w:r>
      <w:r>
        <w:rPr>
          <w:rFonts w:ascii="Times New Roman" w:eastAsia="方正仿宋_GBK" w:hAnsi="Times New Roman" w:cs="Times New Roman"/>
          <w:sz w:val="32"/>
          <w:szCs w:val="32"/>
        </w:rPr>
        <w:t>年底前不少于</w:t>
      </w:r>
      <w:r>
        <w:rPr>
          <w:rFonts w:ascii="Times New Roman" w:eastAsia="方正仿宋_GBK" w:hAnsi="Times New Roman" w:cs="Times New Roman"/>
          <w:sz w:val="32"/>
          <w:szCs w:val="32"/>
        </w:rPr>
        <w:t>7</w:t>
      </w:r>
      <w:r>
        <w:rPr>
          <w:rFonts w:ascii="Times New Roman" w:eastAsia="方正仿宋_GBK" w:hAnsi="Times New Roman" w:cs="Times New Roman"/>
          <w:sz w:val="32"/>
          <w:szCs w:val="32"/>
        </w:rPr>
        <w:t>个统筹地区建制，</w:t>
      </w:r>
      <w:r>
        <w:rPr>
          <w:rFonts w:ascii="Times New Roman" w:eastAsia="方正仿宋_GBK" w:hAnsi="Times New Roman" w:cs="Times New Roman"/>
          <w:sz w:val="32"/>
          <w:szCs w:val="32"/>
        </w:rPr>
        <w:t>2028</w:t>
      </w:r>
      <w:r>
        <w:rPr>
          <w:rFonts w:ascii="Times New Roman" w:eastAsia="方正仿宋_GBK" w:hAnsi="Times New Roman" w:cs="Times New Roman"/>
          <w:sz w:val="32"/>
          <w:szCs w:val="32"/>
        </w:rPr>
        <w:t>年底前全省所有统筹地区完成建制</w:t>
      </w:r>
      <w:r>
        <w:rPr>
          <w:rFonts w:ascii="Times New Roman" w:eastAsia="方正仿宋_GBK" w:hAnsi="Times New Roman" w:cs="Times New Roman"/>
          <w:sz w:val="32"/>
          <w:szCs w:val="32"/>
          <w:lang w:eastAsia="zh-CN"/>
        </w:rPr>
        <w:t>”</w:t>
      </w:r>
      <w:r>
        <w:rPr>
          <w:rFonts w:ascii="Times New Roman" w:eastAsia="方正仿宋_GBK" w:hAnsi="Times New Roman" w:cs="Times New Roman"/>
          <w:sz w:val="32"/>
          <w:szCs w:val="32"/>
        </w:rPr>
        <w:t>。昆明市自</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月启动国家试点以来，已覆盖</w:t>
      </w:r>
      <w:r>
        <w:rPr>
          <w:rFonts w:ascii="Times New Roman" w:eastAsia="方正仿宋_GBK" w:hAnsi="Times New Roman" w:cs="Times New Roman"/>
          <w:sz w:val="32"/>
          <w:szCs w:val="32"/>
        </w:rPr>
        <w:t>233.01</w:t>
      </w:r>
      <w:r>
        <w:rPr>
          <w:rFonts w:ascii="Times New Roman" w:eastAsia="方正仿宋_GBK" w:hAnsi="Times New Roman" w:cs="Times New Roman"/>
          <w:sz w:val="32"/>
          <w:szCs w:val="32"/>
        </w:rPr>
        <w:t>万名职工，基金累计收入</w:t>
      </w:r>
      <w:r>
        <w:rPr>
          <w:rFonts w:ascii="Times New Roman" w:eastAsia="方正仿宋_GBK" w:hAnsi="Times New Roman" w:cs="Times New Roman"/>
          <w:sz w:val="32"/>
          <w:szCs w:val="32"/>
        </w:rPr>
        <w:t>24.49</w:t>
      </w:r>
      <w:r>
        <w:rPr>
          <w:rFonts w:ascii="Times New Roman" w:eastAsia="方正仿宋_GBK" w:hAnsi="Times New Roman" w:cs="Times New Roman"/>
          <w:sz w:val="32"/>
          <w:szCs w:val="32"/>
        </w:rPr>
        <w:t>亿元、支出</w:t>
      </w:r>
      <w:r>
        <w:rPr>
          <w:rFonts w:ascii="Times New Roman" w:eastAsia="方正仿宋_GBK" w:hAnsi="Times New Roman" w:cs="Times New Roman"/>
          <w:sz w:val="32"/>
          <w:szCs w:val="32"/>
        </w:rPr>
        <w:t>10.81</w:t>
      </w:r>
      <w:r>
        <w:rPr>
          <w:rFonts w:ascii="Times New Roman" w:eastAsia="方正仿宋_GBK" w:hAnsi="Times New Roman" w:cs="Times New Roman"/>
          <w:sz w:val="32"/>
          <w:szCs w:val="32"/>
        </w:rPr>
        <w:t>亿元，</w:t>
      </w:r>
      <w:r>
        <w:rPr>
          <w:rFonts w:ascii="Times New Roman" w:eastAsia="方正仿宋_GBK" w:hAnsi="Times New Roman" w:cs="Times New Roman"/>
          <w:sz w:val="32"/>
          <w:szCs w:val="32"/>
        </w:rPr>
        <w:t>2.74</w:t>
      </w:r>
      <w:r>
        <w:rPr>
          <w:rFonts w:ascii="Times New Roman" w:eastAsia="方正仿宋_GBK" w:hAnsi="Times New Roman" w:cs="Times New Roman"/>
          <w:sz w:val="32"/>
          <w:szCs w:val="32"/>
        </w:rPr>
        <w:t>万名失能人员享受待遇，</w:t>
      </w:r>
      <w:r>
        <w:rPr>
          <w:rFonts w:ascii="Times New Roman" w:eastAsia="方正仿宋_GBK" w:hAnsi="Times New Roman" w:cs="Times New Roman"/>
          <w:sz w:val="32"/>
          <w:szCs w:val="32"/>
        </w:rPr>
        <w:t>261</w:t>
      </w:r>
      <w:r>
        <w:rPr>
          <w:rFonts w:ascii="Times New Roman" w:eastAsia="方正仿宋_GBK" w:hAnsi="Times New Roman" w:cs="Times New Roman"/>
          <w:sz w:val="32"/>
          <w:szCs w:val="32"/>
        </w:rPr>
        <w:t>家长护险定点服务机构提供服务，为全省推开积累了经验。</w:t>
      </w:r>
    </w:p>
    <w:p w14:paraId="0079E473" w14:textId="31603910" w:rsidR="008679B7" w:rsidRDefault="00000000">
      <w:pPr>
        <w:spacing w:after="0" w:line="60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按照《云南省医疗保障局全面深化改革</w:t>
      </w:r>
      <w:r>
        <w:rPr>
          <w:rFonts w:ascii="Times New Roman" w:eastAsia="方正仿宋_GBK" w:hAnsi="Times New Roman" w:cs="Times New Roman"/>
          <w:sz w:val="32"/>
          <w:szCs w:val="32"/>
        </w:rPr>
        <w:t>2026</w:t>
      </w:r>
      <w:r>
        <w:rPr>
          <w:rFonts w:ascii="Times New Roman" w:eastAsia="方正仿宋_GBK" w:hAnsi="Times New Roman" w:cs="Times New Roman"/>
          <w:sz w:val="32"/>
          <w:szCs w:val="32"/>
        </w:rPr>
        <w:t>年工作台账分工方案》要求，今年内在已启动长护险的统筹地区要推进长护险省内异地直接结算工作，要求到</w:t>
      </w:r>
      <w:r>
        <w:rPr>
          <w:rFonts w:ascii="Times New Roman" w:eastAsia="方正仿宋_GBK" w:hAnsi="Times New Roman" w:cs="Times New Roman"/>
          <w:sz w:val="32"/>
          <w:szCs w:val="32"/>
        </w:rPr>
        <w:t>2028</w:t>
      </w:r>
      <w:r>
        <w:rPr>
          <w:rFonts w:ascii="Times New Roman" w:eastAsia="方正仿宋_GBK" w:hAnsi="Times New Roman" w:cs="Times New Roman"/>
          <w:sz w:val="32"/>
          <w:szCs w:val="32"/>
        </w:rPr>
        <w:t>年，规范统一的长护险异地待遇享受政策体系更加健全。为此，省医保局积极回应群众省内异地护理需求，吸收借鉴省内外典型做法，广泛征求省级有关部门及州（市）意见建议，结合云南长护险工作实际，牵头起草了本规程。</w:t>
      </w:r>
    </w:p>
    <w:p w14:paraId="26902EC5" w14:textId="01F0044A" w:rsidR="008679B7" w:rsidRDefault="00000000">
      <w:pPr>
        <w:spacing w:after="0" w:line="600" w:lineRule="exact"/>
        <w:ind w:firstLineChars="200" w:firstLine="640"/>
        <w:jc w:val="both"/>
        <w:rPr>
          <w:rFonts w:ascii="方正黑体_GBK" w:eastAsia="方正黑体_GBK" w:hAnsi="方正黑体_GBK" w:cs="方正黑体_GBK" w:hint="eastAsia"/>
          <w:bCs/>
          <w:sz w:val="32"/>
          <w:szCs w:val="32"/>
        </w:rPr>
      </w:pPr>
      <w:r>
        <w:rPr>
          <w:rFonts w:ascii="方正黑体_GBK" w:eastAsia="方正黑体_GBK" w:hAnsi="方正黑体_GBK" w:cs="方正黑体_GBK"/>
          <w:bCs/>
          <w:sz w:val="32"/>
          <w:szCs w:val="32"/>
        </w:rPr>
        <w:t>二</w:t>
      </w:r>
      <w:r>
        <w:rPr>
          <w:rFonts w:ascii="方正黑体_GBK" w:eastAsia="方正黑体_GBK" w:hAnsi="方正黑体_GBK" w:cs="方正黑体_GBK" w:hint="eastAsia"/>
          <w:bCs/>
          <w:sz w:val="32"/>
          <w:szCs w:val="32"/>
        </w:rPr>
        <w:t>、主要内容</w:t>
      </w:r>
    </w:p>
    <w:p w14:paraId="5A68DD4E" w14:textId="75FE1D3B" w:rsidR="008679B7" w:rsidRDefault="00000000">
      <w:pPr>
        <w:spacing w:after="0" w:line="600" w:lineRule="exact"/>
        <w:ind w:firstLineChars="200" w:firstLine="640"/>
        <w:jc w:val="both"/>
        <w:rPr>
          <w:rFonts w:ascii="方正仿宋_GBK" w:eastAsia="方正仿宋_GBK" w:hAnsi="方正仿宋_GBK" w:cs="方正仿宋_GBK" w:hint="eastAsia"/>
          <w:sz w:val="32"/>
          <w:szCs w:val="32"/>
        </w:rPr>
      </w:pPr>
      <w:r>
        <w:rPr>
          <w:rFonts w:ascii="Times New Roman" w:eastAsia="方正仿宋_GBK" w:hAnsi="Times New Roman" w:cs="Times New Roman"/>
          <w:sz w:val="32"/>
          <w:szCs w:val="32"/>
        </w:rPr>
        <w:t>《规程》围绕参保地和服务地经办机构各自的职能职责、备案管理、失能等级评估、服务管理、服务费用结算、费用清算、资金管理、综合监管、信息系统支撑等方面的办理流程、时限、要求进行了明确，共十一章四十余条</w:t>
      </w:r>
      <w:r w:rsidRPr="00B75902">
        <w:rPr>
          <w:rFonts w:ascii="方正仿宋_GBK" w:eastAsia="方正仿宋_GBK" w:hAnsi="方正仿宋_GBK" w:cs="方正仿宋_GBK" w:hint="eastAsia"/>
          <w:sz w:val="32"/>
          <w:szCs w:val="32"/>
        </w:rPr>
        <w:t>。其中，总则主要明确制定依据、适用范围，界定</w:t>
      </w:r>
      <w:r>
        <w:rPr>
          <w:rFonts w:ascii="方正仿宋_GBK" w:eastAsia="方正仿宋_GBK" w:hAnsi="方正仿宋_GBK" w:cs="方正仿宋_GBK"/>
          <w:sz w:val="32"/>
          <w:szCs w:val="32"/>
        </w:rPr>
        <w:t>“</w:t>
      </w:r>
      <w:r w:rsidRPr="00B75902">
        <w:rPr>
          <w:rFonts w:ascii="方正仿宋_GBK" w:eastAsia="方正仿宋_GBK" w:hAnsi="方正仿宋_GBK" w:cs="方正仿宋_GBK" w:hint="eastAsia"/>
          <w:sz w:val="32"/>
          <w:szCs w:val="32"/>
        </w:rPr>
        <w:t>省内异地直接结算</w:t>
      </w:r>
      <w:r>
        <w:rPr>
          <w:rFonts w:ascii="方正仿宋_GBK" w:eastAsia="方正仿宋_GBK" w:hAnsi="方正仿宋_GBK" w:cs="方正仿宋_GBK"/>
          <w:sz w:val="32"/>
          <w:szCs w:val="32"/>
        </w:rPr>
        <w:t>”</w:t>
      </w:r>
      <w:r w:rsidRPr="00B75902">
        <w:rPr>
          <w:rFonts w:ascii="方正仿宋_GBK" w:eastAsia="方正仿宋_GBK" w:hAnsi="方正仿宋_GBK" w:cs="方正仿宋_GBK" w:hint="eastAsia"/>
          <w:sz w:val="32"/>
          <w:szCs w:val="32"/>
        </w:rPr>
        <w:t>的内涵；职能职责，主要对省级和州（市）在经办中的职责进行明确；异地备案管理，主要明确备案的适用对象、备案渠道事项；失能等级评估，主是明确异地评估的操作流程；异地服务管理，</w:t>
      </w:r>
      <w:r w:rsidRPr="00B75902">
        <w:rPr>
          <w:rFonts w:ascii="方正仿宋_GBK" w:eastAsia="方正仿宋_GBK" w:hAnsi="方正仿宋_GBK" w:cs="方正仿宋_GBK" w:hint="eastAsia"/>
          <w:sz w:val="32"/>
          <w:szCs w:val="32"/>
        </w:rPr>
        <w:lastRenderedPageBreak/>
        <w:t>主要明确服务方式、机构选择、政策衔接、支付范围等；费用结算和清算章节，主要明确费用结算清算流程及时限要求</w:t>
      </w:r>
      <w:r w:rsidRPr="00B75902">
        <w:rPr>
          <w:rFonts w:ascii="方正仿宋_GBK" w:eastAsia="方正仿宋_GBK" w:hAnsi="方正仿宋_GBK" w:cs="方正仿宋_GBK" w:hint="eastAsia"/>
          <w:sz w:val="32"/>
          <w:szCs w:val="32"/>
          <w:lang w:eastAsia="zh-CN"/>
        </w:rPr>
        <w:t>；</w:t>
      </w:r>
      <w:r w:rsidRPr="00B75902">
        <w:rPr>
          <w:rFonts w:ascii="方正仿宋_GBK" w:eastAsia="方正仿宋_GBK" w:hAnsi="方正仿宋_GBK" w:cs="方正仿宋_GBK" w:hint="eastAsia"/>
          <w:sz w:val="32"/>
          <w:szCs w:val="32"/>
        </w:rPr>
        <w:t>资金管理主要明确省内异地长护服务直接结算资金纳入社保基金财政专户，实行收支两条线管理，实行先预付后清算机制等；</w:t>
      </w:r>
      <w:r w:rsidRPr="00B75902">
        <w:rPr>
          <w:rFonts w:ascii="方正仿宋_GBK" w:eastAsia="方正仿宋_GBK" w:hAnsi="方正仿宋_GBK" w:cs="方正仿宋_GBK" w:hint="eastAsia"/>
          <w:sz w:val="32"/>
          <w:szCs w:val="32"/>
          <w:lang w:eastAsia="zh-CN"/>
        </w:rPr>
        <w:t>监督管理</w:t>
      </w:r>
      <w:r w:rsidRPr="00B75902">
        <w:rPr>
          <w:rFonts w:ascii="方正仿宋_GBK" w:eastAsia="方正仿宋_GBK" w:hAnsi="方正仿宋_GBK" w:cs="方正仿宋_GBK" w:hint="eastAsia"/>
          <w:sz w:val="32"/>
          <w:szCs w:val="32"/>
        </w:rPr>
        <w:t>主要明确将异地服务的定点机构和从业人员及参保人员纳入服务地同质化管理；信息系统支撑，主要明确信息建设的方向和经办需求等。</w:t>
      </w:r>
    </w:p>
    <w:p w14:paraId="03FEEC0E" w14:textId="77777777" w:rsidR="008679B7" w:rsidRPr="00B75902" w:rsidRDefault="00000000">
      <w:pPr>
        <w:spacing w:after="0" w:line="600" w:lineRule="exact"/>
        <w:ind w:firstLineChars="200" w:firstLine="640"/>
        <w:jc w:val="both"/>
        <w:rPr>
          <w:rFonts w:ascii="方正黑体_GBK" w:eastAsia="方正黑体_GBK" w:hAnsi="方正黑体_GBK" w:cs="方正黑体_GBK"/>
          <w:sz w:val="32"/>
          <w:szCs w:val="32"/>
        </w:rPr>
      </w:pPr>
      <w:r w:rsidRPr="00B75902">
        <w:rPr>
          <w:rFonts w:ascii="方正黑体_GBK" w:eastAsia="方正黑体_GBK" w:hAnsi="方正黑体_GBK" w:cs="方正黑体_GBK" w:hint="eastAsia"/>
          <w:sz w:val="32"/>
          <w:szCs w:val="32"/>
        </w:rPr>
        <w:t>三、执行时间</w:t>
      </w:r>
    </w:p>
    <w:p w14:paraId="704B2EDA" w14:textId="77777777" w:rsidR="008679B7" w:rsidRDefault="00000000">
      <w:pPr>
        <w:spacing w:after="0"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拟于</w:t>
      </w:r>
      <w:r>
        <w:rPr>
          <w:rFonts w:ascii="Times New Roman" w:eastAsia="仿宋_GB2312" w:hAnsi="Times New Roman" w:cs="Times New Roman"/>
          <w:sz w:val="32"/>
          <w:szCs w:val="32"/>
        </w:rPr>
        <w:t>2027</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日起执行。</w:t>
      </w:r>
    </w:p>
    <w:sectPr w:rsidR="008679B7">
      <w:footerReference w:type="default" r:id="rId8"/>
      <w:pgSz w:w="11906" w:h="16838"/>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6227" w14:textId="77777777" w:rsidR="00743555" w:rsidRDefault="00743555">
      <w:pPr>
        <w:spacing w:line="240" w:lineRule="auto"/>
      </w:pPr>
      <w:r>
        <w:separator/>
      </w:r>
    </w:p>
  </w:endnote>
  <w:endnote w:type="continuationSeparator" w:id="0">
    <w:p w14:paraId="1713C1A5" w14:textId="77777777" w:rsidR="00743555" w:rsidRDefault="00743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Georg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7" w:usb1="00000000" w:usb2="00000000" w:usb3="00000000" w:csb0="00000093" w:csb1="00000000"/>
  </w:font>
  <w:font w:name="方正小标宋简体">
    <w:altName w:val="微软雅黑"/>
    <w:charset w:val="86"/>
    <w:family w:val="auto"/>
    <w:pitch w:val="default"/>
    <w:sig w:usb0="00000001" w:usb1="080E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方正仿宋_GBK"/>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7E925" w14:textId="77777777" w:rsidR="008679B7" w:rsidRDefault="00000000">
    <w:pPr>
      <w:pStyle w:val="ab"/>
    </w:pPr>
    <w:r>
      <w:rPr>
        <w:noProof/>
      </w:rPr>
      <mc:AlternateContent>
        <mc:Choice Requires="wps">
          <w:drawing>
            <wp:anchor distT="0" distB="0" distL="114300" distR="114300" simplePos="0" relativeHeight="251659264" behindDoc="0" locked="0" layoutInCell="1" allowOverlap="1" wp14:anchorId="4D7A4407" wp14:editId="6690A146">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FA22B" w14:textId="77777777" w:rsidR="008679B7" w:rsidRDefault="00000000">
                          <w:pPr>
                            <w:pStyle w:val="ab"/>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Pr>
                              <w:rFonts w:asciiTheme="minorEastAsia" w:hAnsiTheme="minorEastAsia" w:cstheme="minorEastAsia" w:hint="eastAsia"/>
                              <w:sz w:val="28"/>
                              <w:szCs w:val="28"/>
                            </w:rPr>
                            <w:t>1</w:t>
                          </w:r>
                          <w:r>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7A4407"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5CFA22B" w14:textId="77777777" w:rsidR="008679B7" w:rsidRDefault="00000000">
                    <w:pPr>
                      <w:pStyle w:val="ab"/>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Pr>
                        <w:rFonts w:asciiTheme="minorEastAsia" w:hAnsiTheme="minorEastAsia" w:cstheme="minorEastAsia" w:hint="eastAsia"/>
                        <w:sz w:val="28"/>
                        <w:szCs w:val="28"/>
                      </w:rPr>
                      <w:t>1</w:t>
                    </w:r>
                    <w:r>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FFBC" w14:textId="77777777" w:rsidR="00743555" w:rsidRDefault="00743555">
      <w:pPr>
        <w:spacing w:after="0"/>
      </w:pPr>
      <w:r>
        <w:separator/>
      </w:r>
    </w:p>
  </w:footnote>
  <w:footnote w:type="continuationSeparator" w:id="0">
    <w:p w14:paraId="7AFD87F3" w14:textId="77777777" w:rsidR="00743555" w:rsidRDefault="0074355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673531032">
    <w:abstractNumId w:val="1"/>
  </w:num>
  <w:num w:numId="2" w16cid:durableId="1448886989">
    <w:abstractNumId w:val="4"/>
  </w:num>
  <w:num w:numId="3" w16cid:durableId="1480536870">
    <w:abstractNumId w:val="5"/>
  </w:num>
  <w:num w:numId="4" w16cid:durableId="592520037">
    <w:abstractNumId w:val="2"/>
  </w:num>
  <w:num w:numId="5" w16cid:durableId="1285885155">
    <w:abstractNumId w:val="0"/>
  </w:num>
  <w:num w:numId="6" w16cid:durableId="747845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4416"/>
    <w:rsid w:val="00743555"/>
    <w:rsid w:val="008679B7"/>
    <w:rsid w:val="00AA1D8D"/>
    <w:rsid w:val="00B47730"/>
    <w:rsid w:val="00B75902"/>
    <w:rsid w:val="00CB0664"/>
    <w:rsid w:val="00FC693F"/>
    <w:rsid w:val="2EE3137A"/>
    <w:rsid w:val="376335ED"/>
    <w:rsid w:val="6DF77031"/>
    <w:rsid w:val="6E3D2314"/>
    <w:rsid w:val="6F78F6CE"/>
    <w:rsid w:val="702F52BA"/>
    <w:rsid w:val="7CA53A05"/>
    <w:rsid w:val="7EF24FB2"/>
    <w:rsid w:val="7FD92AA0"/>
    <w:rsid w:val="B74F1CC9"/>
    <w:rsid w:val="B7CF8A5C"/>
    <w:rsid w:val="D7FD14D4"/>
    <w:rsid w:val="F7FFB885"/>
    <w:rsid w:val="F86FD81F"/>
    <w:rsid w:val="FBE9D157"/>
    <w:rsid w:val="FD7E5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F482B4"/>
  <w15:docId w15:val="{2D92DCE6-F4D4-407F-B686-B2A21018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Heading1Char">
    <w:name w:val="Heading 1 Char"/>
    <w:basedOn w:val="a2"/>
    <w:uiPriority w:val="9"/>
    <w:qFormat/>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a2"/>
    <w:uiPriority w:val="9"/>
    <w:qFormat/>
    <w:rPr>
      <w:rFonts w:asciiTheme="majorHAnsi" w:eastAsiaTheme="majorEastAsia" w:hAnsiTheme="majorHAnsi" w:cstheme="majorBidi"/>
      <w:b/>
      <w:bCs/>
      <w:color w:val="4F81BD" w:themeColor="accent1"/>
    </w:rPr>
  </w:style>
  <w:style w:type="character" w:customStyle="1" w:styleId="Heading5Char">
    <w:name w:val="Heading 5 Char"/>
    <w:basedOn w:val="a2"/>
    <w:uiPriority w:val="9"/>
    <w:semiHidden/>
    <w:qFormat/>
    <w:rPr>
      <w:rFonts w:asciiTheme="majorHAnsi" w:eastAsiaTheme="majorEastAsia" w:hAnsiTheme="majorHAnsi" w:cstheme="majorBidi"/>
      <w:color w:val="244061" w:themeColor="accent1" w:themeShade="80"/>
    </w:rPr>
  </w:style>
  <w:style w:type="character" w:customStyle="1" w:styleId="BodyText3Char">
    <w:name w:val="Body Text 3 Char"/>
    <w:basedOn w:val="a2"/>
    <w:uiPriority w:val="99"/>
    <w:qFormat/>
    <w:rPr>
      <w:sz w:val="16"/>
      <w:szCs w:val="16"/>
    </w:rPr>
  </w:style>
  <w:style w:type="character" w:customStyle="1" w:styleId="TitleChar">
    <w:name w:val="Title Char"/>
    <w:basedOn w:val="a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MacroTextChar">
    <w:name w:val="Macro Text Char"/>
    <w:basedOn w:val="a2"/>
    <w:uiPriority w:val="99"/>
    <w:qFormat/>
    <w:rPr>
      <w:rFonts w:ascii="Courier" w:hAnsi="Courier"/>
      <w:sz w:val="20"/>
      <w:szCs w:val="20"/>
    </w:rPr>
  </w:style>
  <w:style w:type="character" w:customStyle="1" w:styleId="ac">
    <w:name w:val="页脚 字符"/>
    <w:basedOn w:val="a2"/>
    <w:link w:val="ab"/>
    <w:uiPriority w:val="99"/>
    <w:qFormat/>
  </w:style>
  <w:style w:type="paragraph" w:styleId="afe">
    <w:name w:val="Intense Quote"/>
    <w:basedOn w:val="a1"/>
    <w:next w:val="a1"/>
    <w:link w:val="aff"/>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14">
    <w:name w:val="明显强调1"/>
    <w:basedOn w:val="a2"/>
    <w:uiPriority w:val="21"/>
    <w:qFormat/>
    <w:rPr>
      <w:b/>
      <w:bCs/>
      <w:i/>
      <w:iCs/>
      <w:color w:val="4F81BD" w:themeColor="accent1"/>
    </w:rPr>
  </w:style>
  <w:style w:type="character" w:customStyle="1" w:styleId="Heading4Char">
    <w:name w:val="Heading 4 Char"/>
    <w:basedOn w:val="a2"/>
    <w:uiPriority w:val="9"/>
    <w:semiHidden/>
    <w:qFormat/>
    <w:rPr>
      <w:rFonts w:asciiTheme="majorHAnsi" w:eastAsiaTheme="majorEastAsia" w:hAnsiTheme="majorHAnsi" w:cstheme="majorBidi"/>
      <w:b/>
      <w:bCs/>
      <w:i/>
      <w:iCs/>
      <w:color w:val="4F81BD" w:themeColor="accent1"/>
    </w:rPr>
  </w:style>
  <w:style w:type="character" w:customStyle="1" w:styleId="Heading8Char">
    <w:name w:val="Heading 8 Char"/>
    <w:basedOn w:val="a2"/>
    <w:uiPriority w:val="9"/>
    <w:semiHidden/>
    <w:qFormat/>
    <w:rPr>
      <w:rFonts w:asciiTheme="majorHAnsi" w:eastAsiaTheme="majorEastAsia" w:hAnsiTheme="majorHAnsi" w:cstheme="majorBidi"/>
      <w:color w:val="4F81BD" w:themeColor="accent1"/>
      <w:sz w:val="20"/>
      <w:szCs w:val="20"/>
    </w:rPr>
  </w:style>
  <w:style w:type="character" w:customStyle="1" w:styleId="Heading6Char">
    <w:name w:val="Heading 6 Char"/>
    <w:basedOn w:val="a2"/>
    <w:uiPriority w:val="9"/>
    <w:semiHidden/>
    <w:qFormat/>
    <w:rPr>
      <w:rFonts w:asciiTheme="majorHAnsi" w:eastAsiaTheme="majorEastAsia" w:hAnsiTheme="majorHAnsi" w:cstheme="majorBidi"/>
      <w:i/>
      <w:iCs/>
      <w:color w:val="244061" w:themeColor="accent1" w:themeShade="80"/>
    </w:rPr>
  </w:style>
  <w:style w:type="character" w:customStyle="1" w:styleId="Heading9Char">
    <w:name w:val="Heading 9 Char"/>
    <w:basedOn w:val="a2"/>
    <w:uiPriority w:val="9"/>
    <w:semiHidden/>
    <w:qFormat/>
    <w:rPr>
      <w:rFonts w:asciiTheme="majorHAnsi" w:eastAsiaTheme="majorEastAsia" w:hAnsiTheme="majorHAnsi" w:cstheme="majorBidi"/>
      <w:i/>
      <w:iCs/>
      <w:color w:val="404040" w:themeColor="text1" w:themeTint="BF"/>
      <w:sz w:val="20"/>
      <w:szCs w:val="20"/>
    </w:rPr>
  </w:style>
  <w:style w:type="paragraph" w:styleId="aff0">
    <w:name w:val="List Paragraph"/>
    <w:basedOn w:val="a1"/>
    <w:uiPriority w:val="34"/>
    <w:qFormat/>
    <w:pPr>
      <w:ind w:left="720"/>
      <w:contextualSpacing/>
    </w:pPr>
  </w:style>
  <w:style w:type="character" w:customStyle="1" w:styleId="BodyText2Char">
    <w:name w:val="Body Text 2 Char"/>
    <w:basedOn w:val="a2"/>
    <w:uiPriority w:val="99"/>
    <w:qFormat/>
  </w:style>
  <w:style w:type="paragraph" w:styleId="aff1">
    <w:name w:val="No Spacing"/>
    <w:uiPriority w:val="1"/>
    <w:qFormat/>
    <w:rPr>
      <w:sz w:val="22"/>
      <w:szCs w:val="22"/>
      <w:lang w:eastAsia="en-US"/>
    </w:rPr>
  </w:style>
  <w:style w:type="paragraph" w:styleId="aff2">
    <w:name w:val="Quote"/>
    <w:basedOn w:val="a1"/>
    <w:next w:val="a1"/>
    <w:link w:val="aff3"/>
    <w:uiPriority w:val="29"/>
    <w:qFormat/>
    <w:rPr>
      <w:i/>
      <w:iCs/>
      <w:color w:val="000000" w:themeColor="text1"/>
    </w:rPr>
  </w:style>
  <w:style w:type="character" w:customStyle="1" w:styleId="15">
    <w:name w:val="书籍标题1"/>
    <w:basedOn w:val="a2"/>
    <w:uiPriority w:val="33"/>
    <w:qFormat/>
    <w:rPr>
      <w:b/>
      <w:bCs/>
      <w:smallCaps/>
      <w:spacing w:val="5"/>
    </w:rPr>
  </w:style>
  <w:style w:type="character" w:customStyle="1" w:styleId="16">
    <w:name w:val="不明显强调1"/>
    <w:basedOn w:val="a2"/>
    <w:uiPriority w:val="19"/>
    <w:qFormat/>
    <w:rPr>
      <w:i/>
      <w:iCs/>
      <w:color w:val="7F7F7F" w:themeColor="text1" w:themeTint="80"/>
    </w:rPr>
  </w:style>
  <w:style w:type="character" w:customStyle="1" w:styleId="Heading2Char">
    <w:name w:val="Heading 2 Char"/>
    <w:basedOn w:val="a2"/>
    <w:uiPriority w:val="9"/>
    <w:qFormat/>
    <w:rPr>
      <w:rFonts w:asciiTheme="majorHAnsi" w:eastAsiaTheme="majorEastAsia" w:hAnsiTheme="majorHAnsi" w:cstheme="majorBidi"/>
      <w:b/>
      <w:bCs/>
      <w:color w:val="4F81BD" w:themeColor="accent1"/>
      <w:sz w:val="26"/>
      <w:szCs w:val="26"/>
    </w:rPr>
  </w:style>
  <w:style w:type="paragraph" w:customStyle="1" w:styleId="TOC1">
    <w:name w:val="TOC 标题1"/>
    <w:basedOn w:val="1"/>
    <w:next w:val="a1"/>
    <w:uiPriority w:val="39"/>
    <w:semiHidden/>
    <w:unhideWhenUsed/>
    <w:qFormat/>
    <w:pPr>
      <w:outlineLvl w:val="9"/>
    </w:pPr>
  </w:style>
  <w:style w:type="character" w:customStyle="1" w:styleId="IntenseQuoteChar">
    <w:name w:val="Intense Quote Char"/>
    <w:basedOn w:val="a2"/>
    <w:uiPriority w:val="30"/>
    <w:qFormat/>
    <w:rPr>
      <w:b/>
      <w:bCs/>
      <w:i/>
      <w:iCs/>
      <w:color w:val="4F81BD" w:themeColor="accent1"/>
    </w:rPr>
  </w:style>
  <w:style w:type="character" w:customStyle="1" w:styleId="17">
    <w:name w:val="不明显参考1"/>
    <w:basedOn w:val="a2"/>
    <w:uiPriority w:val="31"/>
    <w:qFormat/>
    <w:rPr>
      <w:smallCaps/>
      <w:color w:val="C0504D" w:themeColor="accent2"/>
      <w:u w:val="single"/>
    </w:rPr>
  </w:style>
  <w:style w:type="character" w:customStyle="1" w:styleId="18">
    <w:name w:val="明显参考1"/>
    <w:basedOn w:val="a2"/>
    <w:uiPriority w:val="32"/>
    <w:qFormat/>
    <w:rPr>
      <w:b/>
      <w:bCs/>
      <w:smallCaps/>
      <w:color w:val="C0504D" w:themeColor="accent2"/>
      <w:spacing w:val="5"/>
      <w:u w:val="single"/>
    </w:rPr>
  </w:style>
  <w:style w:type="character" w:customStyle="1" w:styleId="Heading7Char">
    <w:name w:val="Heading 7 Char"/>
    <w:basedOn w:val="a2"/>
    <w:uiPriority w:val="9"/>
    <w:semiHidden/>
    <w:qFormat/>
    <w:rPr>
      <w:rFonts w:asciiTheme="majorHAnsi" w:eastAsiaTheme="majorEastAsia" w:hAnsiTheme="majorHAnsi" w:cstheme="majorBidi"/>
      <w:i/>
      <w:iCs/>
      <w:color w:val="404040" w:themeColor="text1" w:themeTint="BF"/>
    </w:rPr>
  </w:style>
  <w:style w:type="character" w:customStyle="1" w:styleId="BodyTextChar">
    <w:name w:val="Body Text Char"/>
    <w:basedOn w:val="a2"/>
    <w:uiPriority w:val="99"/>
    <w:qFormat/>
  </w:style>
  <w:style w:type="character" w:customStyle="1" w:styleId="SubtitleChar">
    <w:name w:val="Subtitle Char"/>
    <w:basedOn w:val="a2"/>
    <w:uiPriority w:val="11"/>
    <w:qFormat/>
    <w:rPr>
      <w:rFonts w:asciiTheme="majorHAnsi" w:eastAsiaTheme="majorEastAsia" w:hAnsiTheme="majorHAnsi" w:cstheme="majorBidi"/>
      <w:i/>
      <w:iCs/>
      <w:color w:val="4F81BD" w:themeColor="accent1"/>
      <w:spacing w:val="15"/>
      <w:sz w:val="24"/>
      <w:szCs w:val="24"/>
    </w:rPr>
  </w:style>
  <w:style w:type="character" w:customStyle="1" w:styleId="QuoteChar">
    <w:name w:val="Quote Char"/>
    <w:basedOn w:val="a2"/>
    <w:uiPriority w:val="29"/>
    <w:qFormat/>
    <w:rPr>
      <w:i/>
      <w:iCs/>
      <w:color w:val="000000" w:themeColor="text1"/>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character" w:customStyle="1" w:styleId="25">
    <w:name w:val="正文文本 2 字符"/>
    <w:basedOn w:val="a2"/>
    <w:link w:val="24"/>
    <w:uiPriority w:val="99"/>
    <w:qFormat/>
  </w:style>
  <w:style w:type="character" w:customStyle="1" w:styleId="BookTitle1">
    <w:name w:val="Book Title1"/>
    <w:basedOn w:val="a2"/>
    <w:uiPriority w:val="33"/>
    <w:qFormat/>
    <w:rPr>
      <w:b/>
      <w:bCs/>
      <w:smallCaps/>
      <w:spacing w:val="5"/>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35">
    <w:name w:val="正文文本 3 字符"/>
    <w:basedOn w:val="a2"/>
    <w:link w:val="34"/>
    <w:uiPriority w:val="99"/>
    <w:qFormat/>
    <w:rPr>
      <w:sz w:val="16"/>
      <w:szCs w:val="16"/>
    </w:rPr>
  </w:style>
  <w:style w:type="character" w:customStyle="1" w:styleId="IntenseReference1">
    <w:name w:val="Intense Reference1"/>
    <w:basedOn w:val="a2"/>
    <w:uiPriority w:val="32"/>
    <w:qFormat/>
    <w:rPr>
      <w:b/>
      <w:bCs/>
      <w:smallCaps/>
      <w:color w:val="C0504D" w:themeColor="accent2"/>
      <w:spacing w:val="5"/>
      <w:u w:val="single"/>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a9">
    <w:name w:val="正文文本 字符"/>
    <w:basedOn w:val="a2"/>
    <w:link w:val="a8"/>
    <w:uiPriority w:val="99"/>
    <w:qFormat/>
  </w:style>
  <w:style w:type="character" w:customStyle="1" w:styleId="IntenseEmphasis1">
    <w:name w:val="Intense Emphasis1"/>
    <w:basedOn w:val="a2"/>
    <w:uiPriority w:val="21"/>
    <w:qFormat/>
    <w:rPr>
      <w:b/>
      <w:bCs/>
      <w:i/>
      <w:iCs/>
      <w:color w:val="4F81BD" w:themeColor="accent1"/>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1"/>
    <w:next w:val="a1"/>
    <w:uiPriority w:val="39"/>
    <w:semiHidden/>
    <w:unhideWhenUsed/>
    <w:qFormat/>
    <w:pPr>
      <w:outlineLvl w:val="9"/>
    </w:p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character" w:customStyle="1" w:styleId="aff3">
    <w:name w:val="引用 字符"/>
    <w:basedOn w:val="a2"/>
    <w:link w:val="aff2"/>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a6">
    <w:name w:val="宏文本 字符"/>
    <w:basedOn w:val="a2"/>
    <w:link w:val="a5"/>
    <w:uiPriority w:val="99"/>
    <w:qFormat/>
    <w:rPr>
      <w:rFonts w:ascii="Courier" w:hAnsi="Courier"/>
      <w:sz w:val="20"/>
      <w:szCs w:val="20"/>
    </w:rPr>
  </w:style>
  <w:style w:type="character" w:customStyle="1" w:styleId="aff">
    <w:name w:val="明显引用 字符"/>
    <w:basedOn w:val="a2"/>
    <w:link w:val="afe"/>
    <w:uiPriority w:val="30"/>
    <w:qFormat/>
    <w:rPr>
      <w:b/>
      <w:bCs/>
      <w:i/>
      <w:iCs/>
      <w:color w:val="4F81BD" w:themeColor="accent1"/>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SubtleEmphasis1">
    <w:name w:val="Subtle Emphasis1"/>
    <w:basedOn w:val="a2"/>
    <w:uiPriority w:val="19"/>
    <w:qFormat/>
    <w:rPr>
      <w:i/>
      <w:iCs/>
      <w:color w:val="7F7F7F" w:themeColor="text1" w:themeTint="80"/>
    </w:rPr>
  </w:style>
  <w:style w:type="character" w:customStyle="1" w:styleId="SubtleReference1">
    <w:name w:val="Subtle Reference1"/>
    <w:basedOn w:val="a2"/>
    <w:uiPriority w:val="31"/>
    <w:qFormat/>
    <w:rPr>
      <w:smallCaps/>
      <w:color w:val="C0504D" w:themeColor="accent2"/>
      <w:u w:val="single"/>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paragraph" w:styleId="aff4">
    <w:name w:val="Revision"/>
    <w:hidden/>
    <w:uiPriority w:val="99"/>
    <w:unhideWhenUsed/>
    <w:rsid w:val="00B7590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182</Words>
  <Characters>1040</Characters>
  <Application>Microsoft Office Word</Application>
  <DocSecurity>0</DocSecurity>
  <Lines>8</Lines>
  <Paragraphs>2</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瑶 谭</cp:lastModifiedBy>
  <cp:revision>2</cp:revision>
  <dcterms:created xsi:type="dcterms:W3CDTF">2026-07-31T06:50:00Z</dcterms:created>
  <dcterms:modified xsi:type="dcterms:W3CDTF">2026-11-05T09:51:00Z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0F62AF4D23804046A77CFD7990C0BABD</vt:lpwstr>
  </property>
</Properties>
</file>